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-139699</wp:posOffset>
                </wp:positionV>
                <wp:extent cx="6819900" cy="527050"/>
                <wp:effectExtent b="0" l="0" r="0" t="0"/>
                <wp:wrapNone/>
                <wp:docPr id="1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13" name="Shape 1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Б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6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-139699</wp:posOffset>
                </wp:positionV>
                <wp:extent cx="6819900" cy="527050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248920</wp:posOffset>
                </wp:positionV>
                <wp:extent cx="895350" cy="3333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248920</wp:posOffset>
                </wp:positionV>
                <wp:extent cx="895350" cy="3333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after="120" w:line="269" w:lineRule="auto"/>
        <w:ind w:right="28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Која метафора се користи да опише повлачење Срба преко албанских планина током друге и треће године рата? _________________________________________________________________________</w:t>
      </w:r>
    </w:p>
    <w:p w:rsidR="00000000" w:rsidDel="00000000" w:rsidP="00000000" w:rsidRDefault="00000000" w:rsidRPr="00000000" w14:paraId="00000008">
      <w:pPr>
        <w:pageBreakBefore w:val="0"/>
        <w:spacing w:after="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Којим именом називамо руску револуцију која је довела до нестанка Царства?</w:t>
      </w:r>
    </w:p>
    <w:p w:rsidR="00000000" w:rsidDel="00000000" w:rsidP="00000000" w:rsidRDefault="00000000" w:rsidRPr="00000000" w14:paraId="00000009">
      <w:pPr>
        <w:pageBreakBefore w:val="0"/>
        <w:spacing w:after="360" w:line="269" w:lineRule="auto"/>
        <w:ind w:left="71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_____________________________________________________________________________________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350520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350520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pageBreakBefore w:val="0"/>
        <w:spacing w:after="24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  <w:tab/>
      </w:r>
    </w:p>
    <w:tbl>
      <w:tblPr>
        <w:tblStyle w:val="Table1"/>
        <w:tblW w:w="9498.0" w:type="dxa"/>
        <w:jc w:val="center"/>
        <w:tblLayout w:type="fixed"/>
        <w:tblLook w:val="0400"/>
      </w:tblPr>
      <w:tblGrid>
        <w:gridCol w:w="425"/>
        <w:gridCol w:w="7372"/>
        <w:gridCol w:w="1701"/>
        <w:tblGridChange w:id="0">
          <w:tblGrid>
            <w:gridCol w:w="425"/>
            <w:gridCol w:w="7372"/>
            <w:gridCol w:w="1701"/>
          </w:tblGrid>
        </w:tblGridChange>
      </w:tblGrid>
      <w:tr>
        <w:trPr>
          <w:cantSplit w:val="0"/>
          <w:trHeight w:val="34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Научник Михајло Пупин учествовао је у рату као војник на фронту.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рату су учествовале и жене, као војници и као болничарке.</w:t>
              <w:tab/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Сарајевски атентат Гаврила Приципа десио се 28. јуна 1914. године.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Председник Теодор Рузвелт увео је САД у Први светски рат.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spacing w:after="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172720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172720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Заокружи техничка средства која су почела да се користе у ратовању у првим деценијама 20. века. </w:t>
      </w:r>
    </w:p>
    <w:tbl>
      <w:tblPr>
        <w:tblStyle w:val="Table2"/>
        <w:tblW w:w="9918.000000000002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328"/>
        <w:gridCol w:w="1755"/>
        <w:gridCol w:w="1448"/>
        <w:gridCol w:w="1843"/>
        <w:gridCol w:w="1701"/>
        <w:gridCol w:w="1843"/>
        <w:tblGridChange w:id="0">
          <w:tblGrid>
            <w:gridCol w:w="1328"/>
            <w:gridCol w:w="1755"/>
            <w:gridCol w:w="1448"/>
            <w:gridCol w:w="1843"/>
            <w:gridCol w:w="1701"/>
            <w:gridCol w:w="184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авиони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тенкови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ракете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цепелини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дронови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бојни отрови</w:t>
            </w:r>
            <w:r w:rsidDel="00000000" w:rsidR="00000000" w:rsidRPr="00000000">
              <w:rPr>
                <w:rFonts w:ascii="Nioki BG" w:cs="Nioki BG" w:eastAsia="Nioki BG" w:hAnsi="Nioki BG"/>
                <w:color w:val="ff0000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појам са његовим објашњењем уписујући одговарајуће слово на црту. </w:t>
      </w:r>
    </w:p>
    <w:tbl>
      <w:tblPr>
        <w:tblStyle w:val="Table3"/>
        <w:tblW w:w="9203.0" w:type="dxa"/>
        <w:jc w:val="left"/>
        <w:tblInd w:w="720.0" w:type="dxa"/>
        <w:tblLayout w:type="fixed"/>
        <w:tblLook w:val="0400"/>
      </w:tblPr>
      <w:tblGrid>
        <w:gridCol w:w="564"/>
        <w:gridCol w:w="546"/>
        <w:gridCol w:w="3379"/>
        <w:gridCol w:w="402"/>
        <w:gridCol w:w="4312"/>
        <w:tblGridChange w:id="0">
          <w:tblGrid>
            <w:gridCol w:w="564"/>
            <w:gridCol w:w="546"/>
            <w:gridCol w:w="3379"/>
            <w:gridCol w:w="402"/>
            <w:gridCol w:w="4312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емиграција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Принудно исељавање из домовине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Предаја у рату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експресионизам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Скупштина у Русији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Културни правац за време Великог рата</w:t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Понуђене појмове и године распореди у табелу поред одговарајуће личности.</w:t>
        <w:tab/>
      </w:r>
    </w:p>
    <w:p w:rsidR="00000000" w:rsidDel="00000000" w:rsidP="00000000" w:rsidRDefault="00000000" w:rsidRPr="00000000" w14:paraId="00000037">
      <w:pPr>
        <w:pageBreakBefore w:val="0"/>
        <w:spacing w:after="120" w:line="240" w:lineRule="auto"/>
        <w:rPr>
          <w:rFonts w:ascii="Times New Roman" w:cs="Times New Roman" w:eastAsia="Times New Roman" w:hAnsi="Times New Roman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1918. </w:t>
        <w:tab/>
        <w:t xml:space="preserve"> Пробој Солунског фронта </w:t>
        <w:tab/>
        <w:t xml:space="preserve">генерал </w:t>
        <w:tab/>
        <w:t xml:space="preserve"> Одбрана Београда </w:t>
        <w:tab/>
        <w:t xml:space="preserve"> мајор </w:t>
        <w:tab/>
        <w:tab/>
        <w:t xml:space="preserve"> 1915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.</w:t>
      </w:r>
    </w:p>
    <w:tbl>
      <w:tblPr>
        <w:tblStyle w:val="Table4"/>
        <w:tblW w:w="1020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2"/>
        <w:gridCol w:w="2552"/>
        <w:gridCol w:w="2552"/>
        <w:gridCol w:w="2552"/>
        <w:tblGridChange w:id="0">
          <w:tblGrid>
            <w:gridCol w:w="2552"/>
            <w:gridCol w:w="2552"/>
            <w:gridCol w:w="2552"/>
            <w:gridCol w:w="2552"/>
          </w:tblGrid>
        </w:tblGridChange>
      </w:tblGrid>
      <w:tr>
        <w:trPr>
          <w:cantSplit w:val="0"/>
          <w:trHeight w:val="372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Личност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Чин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Догађај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Година</w:t>
            </w:r>
          </w:p>
        </w:tc>
      </w:tr>
      <w:tr>
        <w:trPr>
          <w:cantSplit w:val="0"/>
          <w:trHeight w:val="4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Драгутин Гавриловић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Петар Бојовић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</w:t>
      </w:r>
    </w:p>
    <w:p w:rsidR="00000000" w:rsidDel="00000000" w:rsidP="00000000" w:rsidRDefault="00000000" w:rsidRPr="00000000" w14:paraId="00000047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најстарији догађај.</w:t>
      </w:r>
    </w:p>
    <w:tbl>
      <w:tblPr>
        <w:tblStyle w:val="Table5"/>
        <w:tblW w:w="5714.0" w:type="dxa"/>
        <w:jc w:val="left"/>
        <w:tblInd w:w="2547.0" w:type="dxa"/>
        <w:tblLayout w:type="fixed"/>
        <w:tblLook w:val="0400"/>
      </w:tblPr>
      <w:tblGrid>
        <w:gridCol w:w="855"/>
        <w:gridCol w:w="4859"/>
        <w:tblGridChange w:id="0">
          <w:tblGrid>
            <w:gridCol w:w="855"/>
            <w:gridCol w:w="4859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Улазак Италије у рат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Колубарска битка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Српско освајање Кајмакчалана</w:t>
            </w:r>
          </w:p>
        </w:tc>
      </w:tr>
    </w:tbl>
    <w:p w:rsidR="00000000" w:rsidDel="00000000" w:rsidP="00000000" w:rsidRDefault="00000000" w:rsidRPr="00000000" w14:paraId="0000004E">
      <w:pPr>
        <w:pageBreakBefore w:val="0"/>
        <w:spacing w:after="60" w:line="269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pacing w:after="0" w:before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У чему је значај Крфске декларације?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одговора)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-43179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-43179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pageBreakBefore w:val="0"/>
        <w:spacing w:after="0" w:line="240" w:lineRule="auto"/>
        <w:ind w:left="71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</w:p>
    <w:p w:rsidR="00000000" w:rsidDel="00000000" w:rsidP="00000000" w:rsidRDefault="00000000" w:rsidRPr="00000000" w14:paraId="00000051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Потврђује стварање заједничке државе Срба, Хрвата и Словенаца.</w:t>
        <w:tab/>
        <w:tab/>
      </w:r>
    </w:p>
    <w:p w:rsidR="00000000" w:rsidDel="00000000" w:rsidP="00000000" w:rsidRDefault="00000000" w:rsidRPr="00000000" w14:paraId="00000052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Успостављена је тесна сарадња Срба и Бугара на стварању заједничке државе.</w:t>
      </w:r>
    </w:p>
    <w:p w:rsidR="00000000" w:rsidDel="00000000" w:rsidP="00000000" w:rsidRDefault="00000000" w:rsidRPr="00000000" w14:paraId="00000053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Утврђује идеју о стварању државе свих Јужних Словена.</w:t>
      </w:r>
    </w:p>
    <w:p w:rsidR="00000000" w:rsidDel="00000000" w:rsidP="00000000" w:rsidRDefault="00000000" w:rsidRPr="00000000" w14:paraId="00000054">
      <w:pPr>
        <w:pageBreakBefore w:val="0"/>
        <w:spacing w:after="360" w:line="36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Први пут се спомиње заједничка држава Срба, Хрвата и Словенаца.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439420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439420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и одговори на питања.</w:t>
      </w:r>
    </w:p>
    <w:tbl>
      <w:tblPr>
        <w:tblStyle w:val="Table6"/>
        <w:tblW w:w="10598.0" w:type="dxa"/>
        <w:jc w:val="left"/>
        <w:tblInd w:w="0.0" w:type="dxa"/>
        <w:tblLayout w:type="fixed"/>
        <w:tblLook w:val="0400"/>
      </w:tblPr>
      <w:tblGrid>
        <w:gridCol w:w="2972"/>
        <w:gridCol w:w="7626"/>
        <w:tblGridChange w:id="0">
          <w:tblGrid>
            <w:gridCol w:w="2972"/>
            <w:gridCol w:w="76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/>
              <w:drawing>
                <wp:inline distB="0" distT="0" distL="0" distR="0">
                  <wp:extent cx="1371600" cy="1828800"/>
                  <wp:effectExtent b="0" l="0" r="0" t="0"/>
                  <wp:docPr descr="Milunka Savić.jpg" id="12" name="image1.jpg"/>
                  <a:graphic>
                    <a:graphicData uri="http://schemas.openxmlformats.org/drawingml/2006/picture">
                      <pic:pic>
                        <pic:nvPicPr>
                          <pic:cNvPr descr="Milunka Savić.jpg"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828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Која српска хероина је приказана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</w:t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Осим у Првом светском рату у ком се још рату она борила?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(Заокружи слово испред тачног одговора.)</w:t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Кримском рату и Првом балканском рату.</w:t>
            </w:r>
          </w:p>
          <w:p w:rsidR="00000000" w:rsidDel="00000000" w:rsidP="00000000" w:rsidRDefault="00000000" w:rsidRPr="00000000" w14:paraId="0000005B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Првом и Другом балканском рату.</w:t>
              <w:tab/>
            </w:r>
          </w:p>
          <w:p w:rsidR="00000000" w:rsidDel="00000000" w:rsidP="00000000" w:rsidRDefault="00000000" w:rsidRPr="00000000" w14:paraId="0000005C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Тимочкој буни и Другом балканском рату.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E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Због чега је дошло до Првог светског рата?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</w:p>
    <w:p w:rsidR="00000000" w:rsidDel="00000000" w:rsidP="00000000" w:rsidRDefault="00000000" w:rsidRPr="00000000" w14:paraId="0000005F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Подстицање Велике Британије да Аустроугарска нападне Србију.</w:t>
        <w:tab/>
      </w:r>
    </w:p>
    <w:p w:rsidR="00000000" w:rsidDel="00000000" w:rsidP="00000000" w:rsidRDefault="00000000" w:rsidRPr="00000000" w14:paraId="00000060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Борба за колоније између великих сила.</w:t>
      </w:r>
    </w:p>
    <w:p w:rsidR="00000000" w:rsidDel="00000000" w:rsidP="00000000" w:rsidRDefault="00000000" w:rsidRPr="00000000" w14:paraId="00000061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Тежња за ширењем утицаја великих сила на друге континенте. </w:t>
      </w:r>
    </w:p>
    <w:p w:rsidR="00000000" w:rsidDel="00000000" w:rsidP="00000000" w:rsidRDefault="00000000" w:rsidRPr="00000000" w14:paraId="00000062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Страх Русије од јачања Велике Британије.</w:t>
      </w:r>
    </w:p>
    <w:p w:rsidR="00000000" w:rsidDel="00000000" w:rsidP="00000000" w:rsidRDefault="00000000" w:rsidRPr="00000000" w14:paraId="00000063">
      <w:pPr>
        <w:pageBreakBefore w:val="0"/>
        <w:spacing w:after="3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Неслагање Немачке и Аустроугарске око политике „продора на исток“.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337820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337820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4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историјски извор и одговори на питања.</w:t>
      </w:r>
    </w:p>
    <w:p w:rsidR="00000000" w:rsidDel="00000000" w:rsidP="00000000" w:rsidRDefault="00000000" w:rsidRPr="00000000" w14:paraId="00000065">
      <w:pPr>
        <w:pageBreakBefore w:val="0"/>
        <w:shd w:fill="ffffff" w:val="clear"/>
        <w:spacing w:after="0" w:lineRule="auto"/>
        <w:rPr>
          <w:rFonts w:ascii="Nioki BG" w:cs="Nioki BG" w:eastAsia="Nioki BG" w:hAnsi="Nioki BG"/>
          <w:color w:val="222222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color w:val="222222"/>
          <w:sz w:val="21"/>
          <w:szCs w:val="21"/>
          <w:rtl w:val="0"/>
        </w:rPr>
        <w:t xml:space="preserve">“3. Да ће Србија удаљити из војне службе и администрације уопште све официре и функционере који су вршили пропаганду против Аустроугарске монархије, а чија имена и дела аустроугарска влада задржава право да саопшти Краљевској влади.</w:t>
      </w:r>
    </w:p>
    <w:p w:rsidR="00000000" w:rsidDel="00000000" w:rsidP="00000000" w:rsidRDefault="00000000" w:rsidRPr="00000000" w14:paraId="00000066">
      <w:pPr>
        <w:pageBreakBefore w:val="0"/>
        <w:shd w:fill="ffffff" w:val="clear"/>
        <w:spacing w:after="0" w:lineRule="auto"/>
        <w:rPr>
          <w:rFonts w:ascii="Nioki BG" w:cs="Nioki BG" w:eastAsia="Nioki BG" w:hAnsi="Nioki BG"/>
          <w:color w:val="222222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color w:val="222222"/>
          <w:sz w:val="21"/>
          <w:szCs w:val="21"/>
          <w:rtl w:val="0"/>
        </w:rPr>
        <w:t xml:space="preserve">4. Да се у Србији прихвати сарадња органа аустроугарске владе у гушењу... покрета упереног против територијалног интегритета монархије.</w:t>
      </w:r>
    </w:p>
    <w:p w:rsidR="00000000" w:rsidDel="00000000" w:rsidP="00000000" w:rsidRDefault="00000000" w:rsidRPr="00000000" w14:paraId="00000067">
      <w:pPr>
        <w:pageBreakBefore w:val="0"/>
        <w:shd w:fill="ffffff" w:val="clear"/>
        <w:spacing w:after="0" w:lineRule="auto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Fonts w:ascii="Nioki BG" w:cs="Nioki BG" w:eastAsia="Nioki BG" w:hAnsi="Nioki BG"/>
          <w:color w:val="222222"/>
          <w:sz w:val="21"/>
          <w:szCs w:val="21"/>
          <w:rtl w:val="0"/>
        </w:rPr>
        <w:t xml:space="preserve">6. Да се отвори судска истрага против учесника завере од 28. јуна који се налазе на српској територији; у истражним пословима у вези са тим учествоваће органи које ће делегирати аустроугарска влада.”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52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264"/>
        <w:gridCol w:w="5264"/>
        <w:tblGridChange w:id="0">
          <w:tblGrid>
            <w:gridCol w:w="5264"/>
            <w:gridCol w:w="52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 Који документ је у питању?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6A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(Заокружи слово испред тачног одговора.)</w:t>
            </w:r>
          </w:p>
          <w:p w:rsidR="00000000" w:rsidDel="00000000" w:rsidP="00000000" w:rsidRDefault="00000000" w:rsidRPr="00000000" w14:paraId="0000006B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Крфска декларација</w:t>
            </w:r>
          </w:p>
          <w:p w:rsidR="00000000" w:rsidDel="00000000" w:rsidP="00000000" w:rsidRDefault="00000000" w:rsidRPr="00000000" w14:paraId="0000006C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Проглас о уједињењу </w:t>
            </w:r>
          </w:p>
          <w:p w:rsidR="00000000" w:rsidDel="00000000" w:rsidP="00000000" w:rsidRDefault="00000000" w:rsidRPr="00000000" w14:paraId="0000006D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Аустроугарски ултиматум Србији</w:t>
              <w:tab/>
            </w:r>
          </w:p>
          <w:p w:rsidR="00000000" w:rsidDel="00000000" w:rsidP="00000000" w:rsidRDefault="00000000" w:rsidRPr="00000000" w14:paraId="0000006E">
            <w:pPr>
              <w:pageBreakBefore w:val="0"/>
              <w:spacing w:after="24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 Нишка декларација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pageBreakBefore w:val="0"/>
              <w:spacing w:after="0" w:before="120"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 Да ли овим документом једна држава угрожава независност друге државе? _____________</w:t>
            </w:r>
          </w:p>
          <w:p w:rsidR="00000000" w:rsidDel="00000000" w:rsidP="00000000" w:rsidRDefault="00000000" w:rsidRPr="00000000" w14:paraId="00000070">
            <w:pPr>
              <w:pageBreakBefore w:val="0"/>
              <w:spacing w:after="120" w:before="12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В) У којој тачки се то најјасније уочава? __________________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pageBreakBefore w:val="0"/>
        <w:spacing w:after="60" w:line="269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ageBreakBefore w:val="0"/>
        <w:spacing w:after="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.jpg"/><Relationship Id="rId14" Type="http://schemas.openxmlformats.org/officeDocument/2006/relationships/image" Target="media/image7.png"/><Relationship Id="rId17" Type="http://schemas.openxmlformats.org/officeDocument/2006/relationships/image" Target="media/image3.png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12.png"/><Relationship Id="rId7" Type="http://schemas.openxmlformats.org/officeDocument/2006/relationships/image" Target="media/image2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